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80FC" w14:textId="2EFAB658" w:rsidR="00C97847" w:rsidRPr="00435AC8" w:rsidRDefault="008269EF" w:rsidP="00435AC8">
      <w:pPr>
        <w:jc w:val="center"/>
        <w:rPr>
          <w:b/>
          <w:bCs/>
          <w:sz w:val="32"/>
          <w:szCs w:val="32"/>
        </w:rPr>
      </w:pPr>
      <w:r w:rsidRPr="00435AC8">
        <w:rPr>
          <w:b/>
          <w:bCs/>
          <w:sz w:val="32"/>
          <w:szCs w:val="32"/>
        </w:rPr>
        <w:t xml:space="preserve">Insurance Fact Sheet </w:t>
      </w:r>
      <w:r w:rsidR="0023726B">
        <w:rPr>
          <w:b/>
          <w:bCs/>
          <w:sz w:val="32"/>
          <w:szCs w:val="32"/>
        </w:rPr>
        <w:t xml:space="preserve">2 </w:t>
      </w:r>
      <w:r w:rsidR="00435AC8" w:rsidRPr="00435AC8">
        <w:rPr>
          <w:b/>
          <w:bCs/>
          <w:sz w:val="32"/>
          <w:szCs w:val="32"/>
        </w:rPr>
        <w:t xml:space="preserve">– </w:t>
      </w:r>
      <w:r w:rsidR="0097399E">
        <w:rPr>
          <w:b/>
          <w:bCs/>
          <w:sz w:val="32"/>
          <w:szCs w:val="32"/>
        </w:rPr>
        <w:t>Effective</w:t>
      </w:r>
      <w:r w:rsidR="00435AC8" w:rsidRPr="00435AC8">
        <w:rPr>
          <w:b/>
          <w:bCs/>
          <w:sz w:val="32"/>
          <w:szCs w:val="32"/>
        </w:rPr>
        <w:t xml:space="preserve"> 11/1/22</w:t>
      </w:r>
    </w:p>
    <w:p w14:paraId="4F3C6AEF" w14:textId="46F75C9A" w:rsidR="008269EF" w:rsidRDefault="008269EF"/>
    <w:p w14:paraId="1AA85BCF" w14:textId="5D5A1060" w:rsidR="008269EF" w:rsidRPr="00435AC8" w:rsidRDefault="008269EF">
      <w:pPr>
        <w:rPr>
          <w:b/>
          <w:bCs/>
          <w:sz w:val="28"/>
          <w:szCs w:val="28"/>
          <w:u w:val="single"/>
        </w:rPr>
      </w:pPr>
      <w:r w:rsidRPr="00435AC8">
        <w:rPr>
          <w:b/>
          <w:bCs/>
          <w:sz w:val="28"/>
          <w:szCs w:val="28"/>
          <w:u w:val="single"/>
        </w:rPr>
        <w:t>Medical:</w:t>
      </w:r>
    </w:p>
    <w:p w14:paraId="1C9BBD9A" w14:textId="1F0BAAAC" w:rsidR="008269EF" w:rsidRDefault="0023726B" w:rsidP="005D341D">
      <w:pPr>
        <w:pStyle w:val="ListParagraph"/>
        <w:numPr>
          <w:ilvl w:val="0"/>
          <w:numId w:val="1"/>
        </w:numPr>
      </w:pPr>
      <w:proofErr w:type="spellStart"/>
      <w:r>
        <w:t>TeleDoc</w:t>
      </w:r>
      <w:proofErr w:type="spellEnd"/>
      <w:r>
        <w:t xml:space="preserve"> services will continue at no c</w:t>
      </w:r>
      <w:r w:rsidR="007867AF">
        <w:t>ost to employees</w:t>
      </w:r>
      <w:r>
        <w:t>.</w:t>
      </w:r>
    </w:p>
    <w:p w14:paraId="00702D06" w14:textId="01C95D29" w:rsidR="004458FD" w:rsidRDefault="004458FD" w:rsidP="005D341D">
      <w:pPr>
        <w:pStyle w:val="ListParagraph"/>
        <w:numPr>
          <w:ilvl w:val="0"/>
          <w:numId w:val="1"/>
        </w:numPr>
      </w:pPr>
      <w:r>
        <w:t>We will not hold an open enrollment period for the 11/1/22 change.  The plans are not changing significantly, so no open enrollment is required.</w:t>
      </w:r>
    </w:p>
    <w:p w14:paraId="64E86A3A" w14:textId="12E6444C" w:rsidR="008269EF" w:rsidRDefault="0023726B" w:rsidP="005D341D">
      <w:pPr>
        <w:pStyle w:val="ListParagraph"/>
        <w:numPr>
          <w:ilvl w:val="0"/>
          <w:numId w:val="1"/>
        </w:numPr>
      </w:pPr>
      <w:r>
        <w:t xml:space="preserve">The Quest/Blessing lab benefit will end on 10/31/22.  </w:t>
      </w:r>
      <w:r w:rsidR="00E75BA0">
        <w:t>Blessing is unable to continue this benefit that they have provided at no charge to us any longer.</w:t>
      </w:r>
    </w:p>
    <w:p w14:paraId="60E605D4" w14:textId="1D057CB2" w:rsidR="0023726B" w:rsidRDefault="0023726B" w:rsidP="005D341D">
      <w:pPr>
        <w:pStyle w:val="ListParagraph"/>
        <w:numPr>
          <w:ilvl w:val="0"/>
          <w:numId w:val="1"/>
        </w:numPr>
      </w:pPr>
      <w:r>
        <w:t>If you have been pre-authorized for a medical service that will take place on or after 11/1/22, that pre-authorization should be honored.  Please communicate with your doctor’s office that your insurance is changing on 11/1/22 so that they can follow up with BCBS to ensure your pre-certification is honored.</w:t>
      </w:r>
    </w:p>
    <w:p w14:paraId="768D7DD2" w14:textId="35FC5252" w:rsidR="008D2878" w:rsidRDefault="008D2878" w:rsidP="005D341D">
      <w:pPr>
        <w:pStyle w:val="ListParagraph"/>
        <w:numPr>
          <w:ilvl w:val="0"/>
          <w:numId w:val="1"/>
        </w:numPr>
      </w:pPr>
      <w:r>
        <w:t>There will be a change to doctor office copays effective 11/1/22:</w:t>
      </w:r>
    </w:p>
    <w:p w14:paraId="2BEED700" w14:textId="734FD51B" w:rsidR="008D2878" w:rsidRDefault="008D2878" w:rsidP="008D2878">
      <w:pPr>
        <w:pStyle w:val="ListParagraph"/>
        <w:ind w:left="1440"/>
      </w:pPr>
      <w:r>
        <w:t>Primary Care</w:t>
      </w:r>
      <w:r>
        <w:tab/>
        <w:t>$35</w:t>
      </w:r>
    </w:p>
    <w:p w14:paraId="58AF61D9" w14:textId="1A7E9AD6" w:rsidR="008D2878" w:rsidRDefault="008D2878" w:rsidP="008D2878">
      <w:pPr>
        <w:pStyle w:val="ListParagraph"/>
        <w:ind w:left="1440"/>
      </w:pPr>
      <w:r>
        <w:t>Specialist</w:t>
      </w:r>
      <w:r>
        <w:tab/>
        <w:t>$60</w:t>
      </w:r>
    </w:p>
    <w:p w14:paraId="0606B0EE" w14:textId="067A56DE" w:rsidR="008D2878" w:rsidRDefault="008D2878" w:rsidP="008D2878">
      <w:pPr>
        <w:pStyle w:val="ListParagraph"/>
        <w:ind w:left="1440"/>
      </w:pPr>
      <w:r>
        <w:t>Urgent Care</w:t>
      </w:r>
      <w:r>
        <w:tab/>
        <w:t>$75</w:t>
      </w:r>
    </w:p>
    <w:p w14:paraId="481E9126" w14:textId="49D40134" w:rsidR="00EB7C95" w:rsidRPr="00E40ECD" w:rsidRDefault="00B81F0D" w:rsidP="005D341D">
      <w:pPr>
        <w:pStyle w:val="ListParagraph"/>
        <w:numPr>
          <w:ilvl w:val="0"/>
          <w:numId w:val="1"/>
        </w:numPr>
      </w:pPr>
      <w:bookmarkStart w:id="0" w:name="_Hlk116028048"/>
      <w:r>
        <w:t>Soon</w:t>
      </w:r>
      <w:r w:rsidR="008D2878">
        <w:t xml:space="preserve">, there will be a link provided for all covered staff members to complete.  </w:t>
      </w:r>
      <w:r w:rsidR="008D2878" w:rsidRPr="008D2878">
        <w:rPr>
          <w:b/>
          <w:bCs/>
        </w:rPr>
        <w:t xml:space="preserve">This will be required for you to receive your </w:t>
      </w:r>
      <w:r w:rsidR="00C65C33">
        <w:rPr>
          <w:b/>
          <w:bCs/>
        </w:rPr>
        <w:t xml:space="preserve">secondary </w:t>
      </w:r>
      <w:r w:rsidR="008D2878" w:rsidRPr="008D2878">
        <w:rPr>
          <w:b/>
          <w:bCs/>
        </w:rPr>
        <w:t>insurance card.</w:t>
      </w:r>
    </w:p>
    <w:p w14:paraId="653F0B18" w14:textId="77777777" w:rsidR="00E40ECD" w:rsidRDefault="00E40ECD" w:rsidP="00E40ECD">
      <w:pPr>
        <w:pStyle w:val="ListParagraph"/>
      </w:pPr>
    </w:p>
    <w:bookmarkEnd w:id="0"/>
    <w:p w14:paraId="4BBB65CC" w14:textId="3CC7FF6A" w:rsidR="0023726B" w:rsidRDefault="0023726B" w:rsidP="0023726B">
      <w:pPr>
        <w:rPr>
          <w:b/>
          <w:bCs/>
          <w:sz w:val="28"/>
          <w:szCs w:val="28"/>
          <w:u w:val="single"/>
        </w:rPr>
      </w:pPr>
      <w:r>
        <w:rPr>
          <w:b/>
          <w:bCs/>
          <w:sz w:val="28"/>
          <w:szCs w:val="28"/>
          <w:u w:val="single"/>
        </w:rPr>
        <w:t>Prescription</w:t>
      </w:r>
      <w:r w:rsidRPr="00435AC8">
        <w:rPr>
          <w:b/>
          <w:bCs/>
          <w:sz w:val="28"/>
          <w:szCs w:val="28"/>
          <w:u w:val="single"/>
        </w:rPr>
        <w:t>:</w:t>
      </w:r>
    </w:p>
    <w:p w14:paraId="77AF269F" w14:textId="1C44D99F" w:rsidR="00EB7C95" w:rsidRDefault="00EB7C95" w:rsidP="0023726B">
      <w:pPr>
        <w:pStyle w:val="ListParagraph"/>
        <w:numPr>
          <w:ilvl w:val="0"/>
          <w:numId w:val="4"/>
        </w:numPr>
      </w:pPr>
      <w:r>
        <w:t>We recommend that you fill all prescriptions that you can prior to 11/1/22.  Just in case there is a snag in the eligibility system, the RX piece will be the most difficult to immediately correct.  Medical claims have lag in claims processing, but RX claims are processed at point of sale.</w:t>
      </w:r>
    </w:p>
    <w:p w14:paraId="7442541A" w14:textId="6A371A63" w:rsidR="0023726B" w:rsidRDefault="00E75BA0" w:rsidP="0023726B">
      <w:pPr>
        <w:pStyle w:val="ListParagraph"/>
        <w:numPr>
          <w:ilvl w:val="0"/>
          <w:numId w:val="4"/>
        </w:numPr>
      </w:pPr>
      <w:r>
        <w:t>Effective 11/1/22, p</w:t>
      </w:r>
      <w:r w:rsidR="0023726B">
        <w:t xml:space="preserve">referred pricing for prescriptions will only be available at </w:t>
      </w:r>
      <w:r w:rsidR="008C062A" w:rsidRPr="006D51FD">
        <w:rPr>
          <w:b/>
          <w:bCs/>
        </w:rPr>
        <w:t>Walgreens</w:t>
      </w:r>
      <w:r w:rsidR="0023726B" w:rsidRPr="006D51FD">
        <w:rPr>
          <w:b/>
          <w:bCs/>
        </w:rPr>
        <w:t xml:space="preserve">, </w:t>
      </w:r>
      <w:proofErr w:type="gramStart"/>
      <w:r w:rsidR="0023726B" w:rsidRPr="006D51FD">
        <w:rPr>
          <w:b/>
          <w:bCs/>
        </w:rPr>
        <w:t>Wal-Mart</w:t>
      </w:r>
      <w:proofErr w:type="gramEnd"/>
      <w:r w:rsidR="0023726B" w:rsidRPr="006D51FD">
        <w:rPr>
          <w:b/>
          <w:bCs/>
        </w:rPr>
        <w:t xml:space="preserve"> and Sam’s Club</w:t>
      </w:r>
      <w:r w:rsidR="0023726B">
        <w:t>.  You can continue filling prescriptions at current locations through 10/31/22.  As of 11/1/22, please consider changing to one of the three listed above for best pricing.  To initiate a pharmacy change, please call the new pharmacy of choice (</w:t>
      </w:r>
      <w:r w:rsidR="008C062A">
        <w:t>Walgreens</w:t>
      </w:r>
      <w:r w:rsidR="0023726B">
        <w:t xml:space="preserve">, </w:t>
      </w:r>
      <w:proofErr w:type="gramStart"/>
      <w:r w:rsidR="0023726B">
        <w:t>Wal-Mart</w:t>
      </w:r>
      <w:proofErr w:type="gramEnd"/>
      <w:r w:rsidR="0023726B">
        <w:t xml:space="preserve"> or Sam’s club) and ask them to move your prescriptions from the current pharmacy over to them.</w:t>
      </w:r>
    </w:p>
    <w:p w14:paraId="42CE2928" w14:textId="77777777" w:rsidR="00C65C33" w:rsidRPr="00E40ECD" w:rsidRDefault="008D2878" w:rsidP="00E40ECD">
      <w:pPr>
        <w:pStyle w:val="ListParagraph"/>
        <w:numPr>
          <w:ilvl w:val="0"/>
          <w:numId w:val="4"/>
        </w:numPr>
        <w:rPr>
          <w:rFonts w:eastAsia="Times New Roman"/>
          <w:color w:val="000000"/>
        </w:rPr>
      </w:pPr>
      <w:r>
        <w:t>There will be a change to RX copays for M plan participants effective 11/1/22.</w:t>
      </w:r>
      <w:r w:rsidR="00EF58DD">
        <w:t xml:space="preserve">  To see what category your prescription falls under, go to </w:t>
      </w:r>
      <w:hyperlink r:id="rId5" w:history="1">
        <w:r w:rsidR="00C65C33" w:rsidRPr="00E40ECD">
          <w:rPr>
            <w:rStyle w:val="Hyperlink"/>
            <w:rFonts w:eastAsia="Times New Roman"/>
          </w:rPr>
          <w:t>https://www.bcbsil.com/docs/rx-drugs/drug-lists/il/rx-list-per-il-2022.pdf</w:t>
        </w:r>
      </w:hyperlink>
    </w:p>
    <w:tbl>
      <w:tblPr>
        <w:tblStyle w:val="TableGrid"/>
        <w:tblW w:w="7465" w:type="dxa"/>
        <w:tblInd w:w="720" w:type="dxa"/>
        <w:tblLook w:val="04A0" w:firstRow="1" w:lastRow="0" w:firstColumn="1" w:lastColumn="0" w:noHBand="0" w:noVBand="1"/>
      </w:tblPr>
      <w:tblGrid>
        <w:gridCol w:w="2605"/>
        <w:gridCol w:w="2160"/>
        <w:gridCol w:w="2700"/>
      </w:tblGrid>
      <w:tr w:rsidR="008D2878" w14:paraId="78C205E4" w14:textId="77777777" w:rsidTr="008D2878">
        <w:tc>
          <w:tcPr>
            <w:tcW w:w="2605" w:type="dxa"/>
          </w:tcPr>
          <w:p w14:paraId="387F7F47" w14:textId="77777777" w:rsidR="008D2878" w:rsidRDefault="008D2878" w:rsidP="008D2878">
            <w:pPr>
              <w:pStyle w:val="ListParagraph"/>
              <w:ind w:left="0"/>
              <w:jc w:val="center"/>
            </w:pPr>
          </w:p>
        </w:tc>
        <w:tc>
          <w:tcPr>
            <w:tcW w:w="2160" w:type="dxa"/>
          </w:tcPr>
          <w:p w14:paraId="17B859B0" w14:textId="77777777" w:rsidR="008D2878" w:rsidRDefault="008D2878" w:rsidP="008D2878">
            <w:pPr>
              <w:pStyle w:val="ListParagraph"/>
              <w:ind w:left="0"/>
              <w:jc w:val="center"/>
            </w:pPr>
            <w:r>
              <w:t>Preferred Pharmacy</w:t>
            </w:r>
          </w:p>
        </w:tc>
        <w:tc>
          <w:tcPr>
            <w:tcW w:w="2700" w:type="dxa"/>
          </w:tcPr>
          <w:p w14:paraId="16556D83" w14:textId="3A9AC23F" w:rsidR="008D2878" w:rsidRDefault="008D2878" w:rsidP="008D2878">
            <w:pPr>
              <w:pStyle w:val="ListParagraph"/>
              <w:ind w:left="0"/>
              <w:jc w:val="center"/>
            </w:pPr>
            <w:r>
              <w:t>Non-Preferred Pharmacy</w:t>
            </w:r>
          </w:p>
        </w:tc>
      </w:tr>
      <w:tr w:rsidR="008D2878" w14:paraId="76A0FD49" w14:textId="77777777" w:rsidTr="008D2878">
        <w:tc>
          <w:tcPr>
            <w:tcW w:w="2605" w:type="dxa"/>
          </w:tcPr>
          <w:p w14:paraId="4668E780" w14:textId="36D5FFFB" w:rsidR="008D2878" w:rsidRDefault="006D51FD" w:rsidP="008D2878">
            <w:pPr>
              <w:pStyle w:val="ListParagraph"/>
              <w:ind w:left="0"/>
            </w:pPr>
            <w:r>
              <w:t xml:space="preserve">Preferred </w:t>
            </w:r>
            <w:r w:rsidR="008D2878">
              <w:t>Generic</w:t>
            </w:r>
          </w:p>
        </w:tc>
        <w:tc>
          <w:tcPr>
            <w:tcW w:w="2160" w:type="dxa"/>
          </w:tcPr>
          <w:p w14:paraId="4185F417" w14:textId="5D745617" w:rsidR="008D2878" w:rsidRDefault="008D2878" w:rsidP="008D2878">
            <w:pPr>
              <w:pStyle w:val="ListParagraph"/>
              <w:ind w:left="0"/>
              <w:jc w:val="center"/>
            </w:pPr>
            <w:r>
              <w:t>$0</w:t>
            </w:r>
          </w:p>
        </w:tc>
        <w:tc>
          <w:tcPr>
            <w:tcW w:w="2700" w:type="dxa"/>
          </w:tcPr>
          <w:p w14:paraId="09971655" w14:textId="18C46D00" w:rsidR="008D2878" w:rsidRDefault="008D2878" w:rsidP="008D2878">
            <w:pPr>
              <w:pStyle w:val="ListParagraph"/>
              <w:ind w:left="0"/>
              <w:jc w:val="center"/>
            </w:pPr>
            <w:r>
              <w:t>$10</w:t>
            </w:r>
          </w:p>
        </w:tc>
      </w:tr>
      <w:tr w:rsidR="008D2878" w14:paraId="634C66AB" w14:textId="77777777" w:rsidTr="008D2878">
        <w:tc>
          <w:tcPr>
            <w:tcW w:w="2605" w:type="dxa"/>
          </w:tcPr>
          <w:p w14:paraId="1921BDC7" w14:textId="61AEDA69" w:rsidR="008D2878" w:rsidRDefault="006D51FD" w:rsidP="008D2878">
            <w:pPr>
              <w:pStyle w:val="ListParagraph"/>
              <w:ind w:left="0"/>
            </w:pPr>
            <w:r>
              <w:t>Non-Preferred Generic</w:t>
            </w:r>
          </w:p>
        </w:tc>
        <w:tc>
          <w:tcPr>
            <w:tcW w:w="2160" w:type="dxa"/>
          </w:tcPr>
          <w:p w14:paraId="3E7A3045" w14:textId="7F67D52B" w:rsidR="008D2878" w:rsidRDefault="008D2878" w:rsidP="008D2878">
            <w:pPr>
              <w:pStyle w:val="ListParagraph"/>
              <w:ind w:left="0"/>
              <w:jc w:val="center"/>
            </w:pPr>
            <w:r>
              <w:t>$10</w:t>
            </w:r>
          </w:p>
        </w:tc>
        <w:tc>
          <w:tcPr>
            <w:tcW w:w="2700" w:type="dxa"/>
          </w:tcPr>
          <w:p w14:paraId="0D6F5195" w14:textId="1EC6EE23" w:rsidR="008D2878" w:rsidRDefault="008D2878" w:rsidP="008D2878">
            <w:pPr>
              <w:pStyle w:val="ListParagraph"/>
              <w:ind w:left="0"/>
              <w:jc w:val="center"/>
            </w:pPr>
            <w:r>
              <w:t>$20</w:t>
            </w:r>
          </w:p>
        </w:tc>
      </w:tr>
      <w:tr w:rsidR="008D2878" w14:paraId="22AEC526" w14:textId="77777777" w:rsidTr="008D2878">
        <w:tc>
          <w:tcPr>
            <w:tcW w:w="2605" w:type="dxa"/>
          </w:tcPr>
          <w:p w14:paraId="050B8F9B" w14:textId="01C478DA" w:rsidR="008D2878" w:rsidRDefault="006D51FD" w:rsidP="008D2878">
            <w:pPr>
              <w:pStyle w:val="ListParagraph"/>
              <w:ind w:left="0"/>
            </w:pPr>
            <w:r>
              <w:t>Preferred Brand</w:t>
            </w:r>
          </w:p>
        </w:tc>
        <w:tc>
          <w:tcPr>
            <w:tcW w:w="2160" w:type="dxa"/>
          </w:tcPr>
          <w:p w14:paraId="2790ECD9" w14:textId="17883F64" w:rsidR="008D2878" w:rsidRDefault="008D2878" w:rsidP="008D2878">
            <w:pPr>
              <w:pStyle w:val="ListParagraph"/>
              <w:ind w:left="0"/>
              <w:jc w:val="center"/>
            </w:pPr>
            <w:r>
              <w:t>$50</w:t>
            </w:r>
          </w:p>
        </w:tc>
        <w:tc>
          <w:tcPr>
            <w:tcW w:w="2700" w:type="dxa"/>
          </w:tcPr>
          <w:p w14:paraId="10481853" w14:textId="66BEBCA6" w:rsidR="008D2878" w:rsidRDefault="008D2878" w:rsidP="008D2878">
            <w:pPr>
              <w:pStyle w:val="ListParagraph"/>
              <w:ind w:left="0"/>
              <w:jc w:val="center"/>
            </w:pPr>
            <w:r>
              <w:t>$70</w:t>
            </w:r>
          </w:p>
        </w:tc>
      </w:tr>
      <w:tr w:rsidR="008D2878" w14:paraId="001C8919" w14:textId="77777777" w:rsidTr="008D2878">
        <w:tc>
          <w:tcPr>
            <w:tcW w:w="2605" w:type="dxa"/>
          </w:tcPr>
          <w:p w14:paraId="25CE1441" w14:textId="5CFC4E66" w:rsidR="008D2878" w:rsidRDefault="006D51FD" w:rsidP="008D2878">
            <w:pPr>
              <w:pStyle w:val="ListParagraph"/>
              <w:ind w:left="0"/>
            </w:pPr>
            <w:r>
              <w:t>Non-Preferred Brand</w:t>
            </w:r>
          </w:p>
        </w:tc>
        <w:tc>
          <w:tcPr>
            <w:tcW w:w="2160" w:type="dxa"/>
          </w:tcPr>
          <w:p w14:paraId="6DEBC618" w14:textId="755C6073" w:rsidR="008D2878" w:rsidRDefault="008D2878" w:rsidP="008D2878">
            <w:pPr>
              <w:pStyle w:val="ListParagraph"/>
              <w:ind w:left="0"/>
              <w:jc w:val="center"/>
            </w:pPr>
            <w:r>
              <w:t>$100</w:t>
            </w:r>
          </w:p>
        </w:tc>
        <w:tc>
          <w:tcPr>
            <w:tcW w:w="2700" w:type="dxa"/>
          </w:tcPr>
          <w:p w14:paraId="63E4BAF2" w14:textId="2AA06954" w:rsidR="008D2878" w:rsidRDefault="008D2878" w:rsidP="008D2878">
            <w:pPr>
              <w:pStyle w:val="ListParagraph"/>
              <w:ind w:left="0"/>
              <w:jc w:val="center"/>
            </w:pPr>
            <w:r>
              <w:t>$120</w:t>
            </w:r>
          </w:p>
        </w:tc>
      </w:tr>
      <w:tr w:rsidR="008D2878" w14:paraId="4F017F79" w14:textId="77777777" w:rsidTr="008D2878">
        <w:tc>
          <w:tcPr>
            <w:tcW w:w="2605" w:type="dxa"/>
          </w:tcPr>
          <w:p w14:paraId="61C424C0" w14:textId="2E7478CC" w:rsidR="008D2878" w:rsidRDefault="006D51FD" w:rsidP="008D2878">
            <w:pPr>
              <w:pStyle w:val="ListParagraph"/>
              <w:ind w:left="0"/>
            </w:pPr>
            <w:r>
              <w:t>Preferred Specialty</w:t>
            </w:r>
          </w:p>
        </w:tc>
        <w:tc>
          <w:tcPr>
            <w:tcW w:w="2160" w:type="dxa"/>
          </w:tcPr>
          <w:p w14:paraId="3CC2BB15" w14:textId="729C42E0" w:rsidR="008D2878" w:rsidRDefault="008D2878" w:rsidP="008D2878">
            <w:pPr>
              <w:pStyle w:val="ListParagraph"/>
              <w:ind w:left="0"/>
              <w:jc w:val="center"/>
            </w:pPr>
            <w:r>
              <w:t>$150</w:t>
            </w:r>
          </w:p>
        </w:tc>
        <w:tc>
          <w:tcPr>
            <w:tcW w:w="2700" w:type="dxa"/>
          </w:tcPr>
          <w:p w14:paraId="3A5C74D6" w14:textId="13A93E75" w:rsidR="008D2878" w:rsidRDefault="008D2878" w:rsidP="008D2878">
            <w:pPr>
              <w:pStyle w:val="ListParagraph"/>
              <w:ind w:left="0"/>
              <w:jc w:val="center"/>
            </w:pPr>
            <w:r>
              <w:t>$150</w:t>
            </w:r>
          </w:p>
        </w:tc>
      </w:tr>
      <w:tr w:rsidR="008D2878" w14:paraId="16213294" w14:textId="77777777" w:rsidTr="008D2878">
        <w:tc>
          <w:tcPr>
            <w:tcW w:w="2605" w:type="dxa"/>
          </w:tcPr>
          <w:p w14:paraId="07842BC3" w14:textId="08EDEC7B" w:rsidR="008D2878" w:rsidRDefault="006D51FD" w:rsidP="008D2878">
            <w:pPr>
              <w:pStyle w:val="ListParagraph"/>
              <w:ind w:left="0"/>
            </w:pPr>
            <w:r>
              <w:t>Non-Preferred Specialty</w:t>
            </w:r>
          </w:p>
        </w:tc>
        <w:tc>
          <w:tcPr>
            <w:tcW w:w="2160" w:type="dxa"/>
          </w:tcPr>
          <w:p w14:paraId="748F9368" w14:textId="72F5DA6C" w:rsidR="008D2878" w:rsidRDefault="008D2878" w:rsidP="008D2878">
            <w:pPr>
              <w:pStyle w:val="ListParagraph"/>
              <w:ind w:left="0"/>
              <w:jc w:val="center"/>
            </w:pPr>
            <w:r>
              <w:t>$250</w:t>
            </w:r>
          </w:p>
        </w:tc>
        <w:tc>
          <w:tcPr>
            <w:tcW w:w="2700" w:type="dxa"/>
          </w:tcPr>
          <w:p w14:paraId="45CCD1D2" w14:textId="5C4D5A3D" w:rsidR="008D2878" w:rsidRDefault="008D2878" w:rsidP="008D2878">
            <w:pPr>
              <w:pStyle w:val="ListParagraph"/>
              <w:ind w:left="0"/>
              <w:jc w:val="center"/>
            </w:pPr>
            <w:r>
              <w:t>$250</w:t>
            </w:r>
          </w:p>
        </w:tc>
      </w:tr>
    </w:tbl>
    <w:p w14:paraId="0EFF2636" w14:textId="4E9B2CE0" w:rsidR="0023726B" w:rsidRDefault="0023726B" w:rsidP="0023726B">
      <w:pPr>
        <w:pStyle w:val="ListParagraph"/>
        <w:numPr>
          <w:ilvl w:val="0"/>
          <w:numId w:val="4"/>
        </w:numPr>
      </w:pPr>
      <w:r>
        <w:t>If there is a formulary change and your prescription is affected, you will receive a letter directly to your home notifying you of the change.</w:t>
      </w:r>
    </w:p>
    <w:p w14:paraId="5CECD4A5" w14:textId="77777777" w:rsidR="008D2878" w:rsidRPr="0023726B" w:rsidRDefault="008D2878" w:rsidP="008D2878">
      <w:pPr>
        <w:pStyle w:val="ListParagraph"/>
      </w:pPr>
    </w:p>
    <w:p w14:paraId="0BD5EFCA" w14:textId="63E0AA1C" w:rsidR="008269EF" w:rsidRPr="005D341D" w:rsidRDefault="005D341D">
      <w:pPr>
        <w:rPr>
          <w:sz w:val="28"/>
          <w:szCs w:val="28"/>
        </w:rPr>
      </w:pPr>
      <w:r w:rsidRPr="005D341D">
        <w:rPr>
          <w:sz w:val="28"/>
          <w:szCs w:val="28"/>
        </w:rPr>
        <w:t xml:space="preserve">More Detailed Information will be coming soon from the Benefits Department. </w:t>
      </w:r>
    </w:p>
    <w:sectPr w:rsidR="008269EF" w:rsidRPr="005D341D" w:rsidSect="00EF58D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72998"/>
    <w:multiLevelType w:val="hybridMultilevel"/>
    <w:tmpl w:val="CABE9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11D21"/>
    <w:multiLevelType w:val="hybridMultilevel"/>
    <w:tmpl w:val="5C70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841141"/>
    <w:multiLevelType w:val="hybridMultilevel"/>
    <w:tmpl w:val="FD18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25462"/>
    <w:multiLevelType w:val="hybridMultilevel"/>
    <w:tmpl w:val="09AE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A8345B"/>
    <w:multiLevelType w:val="hybridMultilevel"/>
    <w:tmpl w:val="29724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9EF"/>
    <w:rsid w:val="000A2DE2"/>
    <w:rsid w:val="0023726B"/>
    <w:rsid w:val="00392DC6"/>
    <w:rsid w:val="00427EF8"/>
    <w:rsid w:val="00435AC8"/>
    <w:rsid w:val="004458FD"/>
    <w:rsid w:val="004A691B"/>
    <w:rsid w:val="00587D5E"/>
    <w:rsid w:val="005D341D"/>
    <w:rsid w:val="0061442A"/>
    <w:rsid w:val="006D51FD"/>
    <w:rsid w:val="007867AF"/>
    <w:rsid w:val="008269EF"/>
    <w:rsid w:val="0084727F"/>
    <w:rsid w:val="00896734"/>
    <w:rsid w:val="008C062A"/>
    <w:rsid w:val="008D2878"/>
    <w:rsid w:val="0097399E"/>
    <w:rsid w:val="00A27C0E"/>
    <w:rsid w:val="00A45E41"/>
    <w:rsid w:val="00B81F0D"/>
    <w:rsid w:val="00C65C33"/>
    <w:rsid w:val="00C76114"/>
    <w:rsid w:val="00C97847"/>
    <w:rsid w:val="00D37791"/>
    <w:rsid w:val="00D4526A"/>
    <w:rsid w:val="00D70FD5"/>
    <w:rsid w:val="00E40ECD"/>
    <w:rsid w:val="00E75BA0"/>
    <w:rsid w:val="00EB7C95"/>
    <w:rsid w:val="00EF5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44C"/>
  <w15:chartTrackingRefBased/>
  <w15:docId w15:val="{610C6A8E-085C-4600-9473-217D308A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41D"/>
    <w:pPr>
      <w:ind w:left="720"/>
      <w:contextualSpacing/>
    </w:pPr>
  </w:style>
  <w:style w:type="character" w:styleId="Hyperlink">
    <w:name w:val="Hyperlink"/>
    <w:basedOn w:val="DefaultParagraphFont"/>
    <w:uiPriority w:val="99"/>
    <w:unhideWhenUsed/>
    <w:rsid w:val="00EF58DD"/>
    <w:rPr>
      <w:color w:val="0563C1" w:themeColor="hyperlink"/>
      <w:u w:val="single"/>
    </w:rPr>
  </w:style>
  <w:style w:type="character" w:styleId="UnresolvedMention">
    <w:name w:val="Unresolved Mention"/>
    <w:basedOn w:val="DefaultParagraphFont"/>
    <w:uiPriority w:val="99"/>
    <w:semiHidden/>
    <w:unhideWhenUsed/>
    <w:rsid w:val="00EF5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cbsil.com/docs/rx-drugs/drug-lists/il/rx-list-per-il-2022.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 Teresa</dc:creator>
  <cp:keywords/>
  <dc:description/>
  <cp:lastModifiedBy>Kemp, Teresa</cp:lastModifiedBy>
  <cp:revision>11</cp:revision>
  <cp:lastPrinted>2022-10-03T20:02:00Z</cp:lastPrinted>
  <dcterms:created xsi:type="dcterms:W3CDTF">2022-10-03T20:05:00Z</dcterms:created>
  <dcterms:modified xsi:type="dcterms:W3CDTF">2022-10-07T15:17:00Z</dcterms:modified>
</cp:coreProperties>
</file>